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79"/>
        <w:gridCol w:w="6566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3" w:type="dxa"/>
            <w:vAlign w:val="top"/>
            <w:textDirection w:val="lrTb"/>
            <w:noWrap w:val="false"/>
          </w:tcPr>
          <w:p>
            <w:pPr>
              <w:pStyle w:val="667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6" w:type="dxa"/>
            <w:vAlign w:val="top"/>
            <w:textDirection w:val="lrTb"/>
            <w:noWrap w:val="false"/>
          </w:tcPr>
          <w:p>
            <w:pPr>
              <w:pStyle w:val="660"/>
              <w:ind w:left="192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   округ Краснодарского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15.05.2026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1922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21.10.2020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Паспорт</w:t>
              <w:br w:type="textWrapping" w:clear="all"/>
              <w:t xml:space="preserve">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0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культуры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муниципальном образовании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Ленинградск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муниципальный округ Краснодарского края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</w:t>
              <w:br w:type="textWrapping" w:clear="all"/>
              <w:t xml:space="preserve">(Далее - Программа)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6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тдел культуры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Методический центр развития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МЦРК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детская музыкальная школа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Ленинградской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Ленинградский район (далее МБУ ДО ДМШ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етская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кола искусств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ДШИ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Крыловской);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«Детская художественная школа станицы Ленинградской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ДХШ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«Ленинградская библиотека»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ЛБ)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историко-краеведческий музей» (далее МБУК «ЛИКМ»)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«Центр творчества и искусства»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«Центр творчества и искусства»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«Центр обеспечения деятельности учреждений культуры»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«ЦОДУК»)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приобщения граждан к культурным ценностям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инфраструктуры отрасли, техническое и технологическое оснащение учреждений культуры; создание условий для равного доступа граждан к культурн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благам 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(далее – муниципальный округ)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сохранение и развитие народной традиционной культуры, формирование единого культурного пространства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культурно-массовых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музеев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ДШИ на начало учебного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без деления на этапы.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муниципальной программы, вс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по годам и источникам  финанс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бъем финан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совых ресурсов, предусмотренных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на реал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изацию муниципальной программы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составляет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 36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129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из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1 297 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программы из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едств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63 263,0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61 148,3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из средств федерального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бъемы финансирования подлежат ежегодному 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нению, исходя из возможностей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Характеристика текущего состояния и прогноз развития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соответствующей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сферы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2"/>
          <w:szCs w:val="22"/>
          <w:lang w:bidi="he-IL"/>
        </w:rPr>
      </w:pPr>
      <w:r>
        <w:rPr>
          <w:rFonts w:ascii="Times New Roman" w:hAnsi="Times New Roman" w:cs="Times New Roman"/>
          <w:sz w:val="22"/>
          <w:szCs w:val="22"/>
          <w:lang w:bidi="he-IL"/>
        </w:rPr>
      </w:r>
      <w:r>
        <w:rPr>
          <w:rFonts w:ascii="Times New Roman" w:hAnsi="Times New Roman" w:cs="Times New Roman"/>
          <w:sz w:val="22"/>
          <w:szCs w:val="22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Структурные изменения в отрасли, связанные с реформой местного 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моуправления, требуют дополнительных усилий и финансов для сохранения единого культурного пространства на уровне 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налаживания на новой основе культурных связей, диалога наци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нальных культур, а так же поддержки традиционной народной культуры.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условиях недостаточного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Процессы информатизации современной жизни настоятельно требуют от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внедрения информационных технологий с целью более оперативного и качественного удовлетворения запросов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Действующее законодательство предъявляет повышенные требования к созданию безопасных условий хранения и экспонирования музейных колле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ций, их эффективного использования в научно-исследовательских, образов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тельных и просветительских целях, реализации актуальных проектов в области музейного дела. Здание музея, в том числе помещения фондохранилищ, треб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у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ют расширения, ремонта, реконструкции и реставрации.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Требует совершенствования также деятельность по созданию безопа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ных условий хр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анения и использования библиотечных фондов, обеспечения безопасности зрителей учреждений, участников массовых культурно-досуговых мероприятий. Особого внимания требует проведение пожарно-охранных мероприятий на объектах культуры. Особую тревогу вызывает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тивопожарная безопасность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В течение многих лет учреждениям недостаточно выделялись денежные средства на проведение противопожарных мероприятий, в результате чего уровень противопожарной безопасности не соответствует современным требованиям и нормам.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связи с неудовлетворительным состоянием помещений учреждений культуры, отсутствием в них высококачественной звуковой, свет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вой, видеопроекционной аппаратуры, музыкальных инструментов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сценических костюмов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все более сложно создать комфортные условия для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Использование программно-целевого метода позволит путем конкурсн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 отбора поддержать и профинансировать наиболее социально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-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значимые тво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ческие проекты, связанные как с внутренними процессами развития отрасли «Культура, искусство и кинематография» и составляющих ее под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отраслей, так и с презентационными акциями Краснодарского края.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276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Сеть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представлена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9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учреждениями, которые в соответствии с полномочиями, определенными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действующим законодательством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Российской Федерации, находятся на разных уровнях финансирования.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ся обеспечение функционирования 1 клубн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с 6 филиалами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10 структурными подразделениями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 МБУ кинотеатр «Горн»; 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относится обеспечение функционирования 17 библиотек, муниципального бюджетного учреждения культуры «Ленинградский историко-краеведческий музей», 3 школ дополнительного образования детей, муниц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пального казенного учреждения «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етодический центр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культуры».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учреждениях культуры, в сравнении с предыдущими годами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оизошел рост клубных формирований самодеятельного народного творчества, с увеличением, соответственно и количеством участников. Этому способствовали учебные мероприятия, проводимые для специалистов культурно-досуговой деятельности – мастер-классы, выездные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семинары, семинары-практикумы. В учреждениях культуры стабильно работают формирования хорового жанра, как взрослые, так и детские: хоры, вокальные студии и ансамбли, ансамбли народной и казачьей песни, в подростковой и молодежной среде популярен эстрадный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хореографический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жанр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ы.</w:t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строй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проблемой в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сфере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является: недостаток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высококвалифицированных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кадров.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Одной из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чин является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0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жилья, что приводит к тому, что многие выпускники образовательных учреждений культуры не работают по специальности в мун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ципальных учреждениях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Дефицит кадров не позволяет в должной мере обеспечить качественный уровень проведения культурно-массовых мероприятий, организации работы клубных формирований творч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ских любительских объединений.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единого информационного и культурного пространства, препятствует  созданию условий для равного доступа жителей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 культурным ценностям и информационным ресурсам. 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Муниципальные библиотеки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испытывают острый дефицит в 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нежных  средствах  для  организации  подписк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  на   периодиче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ские  издания. Объем приобретения печатных изданий на электронных носителях, а также аудиовизуальных документов для библиотек рассчитывается в соответствии с нормативами книгообеспеченности, установленными Модельным стандартом деятельности публичной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теки, принятым Российской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течной ассоциацией. Годовой объем пополнения библиотечного фонда должен составлять не менее 250 экземпляров на 1000 жителей.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bidi="he-IL"/>
        </w:rPr>
        <w:t xml:space="preserve">З</w:t>
      </w:r>
      <w:r>
        <w:rPr>
          <w:sz w:val="28"/>
          <w:szCs w:val="28"/>
          <w:lang w:bidi="he-IL"/>
        </w:rPr>
        <w:t xml:space="preserve">а последние </w:t>
      </w:r>
      <w:r>
        <w:rPr>
          <w:sz w:val="28"/>
          <w:szCs w:val="28"/>
          <w:lang w:bidi="he-IL"/>
        </w:rPr>
        <w:t xml:space="preserve">2</w:t>
      </w:r>
      <w:r>
        <w:rPr>
          <w:sz w:val="28"/>
          <w:szCs w:val="28"/>
          <w:lang w:bidi="he-IL"/>
        </w:rPr>
        <w:t xml:space="preserve"> года на комплектование книжных фондов из средств бюджета муни</w:t>
      </w:r>
      <w:r>
        <w:rPr>
          <w:sz w:val="28"/>
          <w:szCs w:val="28"/>
          <w:lang w:bidi="he-IL"/>
        </w:rPr>
        <w:t xml:space="preserve">ципального образования выделено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5 547,2</w:t>
      </w:r>
      <w:r>
        <w:rPr>
          <w:sz w:val="28"/>
          <w:szCs w:val="28"/>
          <w:lang w:bidi="he-IL"/>
        </w:rPr>
        <w:t xml:space="preserve"> тыс. рублей.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В</w:t>
      </w:r>
      <w:r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408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 </w:t>
      </w:r>
      <w:r>
        <w:rPr>
          <w:sz w:val="28"/>
          <w:szCs w:val="28"/>
        </w:rPr>
        <w:t xml:space="preserve">1611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экз. на сумму </w:t>
      </w:r>
      <w:r>
        <w:rPr>
          <w:sz w:val="28"/>
          <w:szCs w:val="28"/>
        </w:rPr>
        <w:t xml:space="preserve">879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44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,3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субсидия из местного бюджета – </w:t>
      </w:r>
      <w:r>
        <w:rPr>
          <w:sz w:val="28"/>
          <w:szCs w:val="28"/>
        </w:rPr>
        <w:t xml:space="preserve">247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2,9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краевая целевая программа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Развитие культуры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119</w:t>
      </w:r>
      <w:r>
        <w:rPr>
          <w:sz w:val="28"/>
          <w:szCs w:val="28"/>
        </w:rPr>
        <w:t xml:space="preserve"> экз. на сумму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76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1</w:t>
      </w:r>
      <w:r>
        <w:rPr>
          <w:sz w:val="27"/>
          <w:szCs w:val="27"/>
        </w:rPr>
        <w:t xml:space="preserve"> тыс. руб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православная энциклопедия – 24 экз., на сумму 32 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бюджета -</w:t>
      </w:r>
      <w:r>
        <w:rPr>
          <w:sz w:val="28"/>
          <w:szCs w:val="28"/>
        </w:rPr>
        <w:t xml:space="preserve">2560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00,0 тыс. руб.;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модельная библиотека – 149 экз., на сумму 90,0 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654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92,9</w:t>
      </w:r>
      <w:r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4369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,3 %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местного бюджета -</w:t>
      </w:r>
      <w:r>
        <w:rPr>
          <w:sz w:val="28"/>
          <w:szCs w:val="28"/>
        </w:rPr>
        <w:t xml:space="preserve">3518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1351,1</w:t>
      </w:r>
      <w:r>
        <w:rPr>
          <w:sz w:val="28"/>
          <w:szCs w:val="28"/>
        </w:rPr>
        <w:t xml:space="preserve">,0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</w:t>
      </w:r>
      <w:r>
        <w:rPr>
          <w:sz w:val="28"/>
          <w:szCs w:val="28"/>
        </w:rPr>
        <w:t xml:space="preserve">554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186,5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156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52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местная субсидия – </w:t>
      </w:r>
      <w:r>
        <w:rPr>
          <w:sz w:val="28"/>
          <w:szCs w:val="28"/>
        </w:rPr>
        <w:t xml:space="preserve">97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2,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руб.;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через ККУНБ им. А.С. Пушкина - 44 экз. на сумму –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516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К</w:t>
      </w:r>
      <w:r>
        <w:rPr>
          <w:sz w:val="28"/>
          <w:szCs w:val="28"/>
          <w:lang w:bidi="he-IL"/>
        </w:rPr>
        <w:t xml:space="preserve">оличество приобретаемой литературы </w:t>
      </w:r>
      <w:r>
        <w:rPr>
          <w:sz w:val="28"/>
          <w:szCs w:val="28"/>
          <w:lang w:bidi="he-IL"/>
        </w:rPr>
        <w:t xml:space="preserve">увеличивается</w:t>
      </w:r>
      <w:r>
        <w:rPr>
          <w:sz w:val="28"/>
          <w:szCs w:val="28"/>
          <w:lang w:bidi="he-IL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 относится к числу </w:t>
      </w:r>
      <w:r>
        <w:rPr>
          <w:rFonts w:ascii="Times New Roman" w:hAnsi="Times New Roman" w:cs="Times New Roman"/>
          <w:sz w:val="28"/>
          <w:szCs w:val="28"/>
        </w:rPr>
        <w:t xml:space="preserve">территорий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Российской Федерации с развитой сетью художественных и музыкально-образовательных учреждений.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созданы основные условия для удовлетворения возросших потребностей подрастающего поколения в художественно-эстетическом образовании.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ежегодно проводя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ся региональные фестивали и конкурсы в сфере культуры и искусства с участ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ем детских и юношеских творческих коллективов учебных заведений Красн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края. Все это стало возможным в результате созидательной культу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ной политики, проводимой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учебные заведения начального художественно-эстетического образования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имеют слабую материально-техническую базу. Музыкальные инструменты требуют замены или ремонта, из-за длительной эксплуатации имеют непригля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ный вид сценические костюмы, в недостаточном количестве имеется компь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терная техника.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настоящей Программы позволит повысить уровень эстетич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ского воспитания учащихся, конкурентоспособность детских и юношеских творческих коллективов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, улучшить координацию деятельности органов и учреждений образования и культуры с целью формиров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ния художественной культуры подрастающего поколения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разования Ленинградский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17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Участие в краевых целевых программах позволило улучшить матер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ально-техническую базу учреждений культуры. В настоящее время приорите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ными задачами в сфере культуры муниципального образования являются, с 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ной стороны обеспечение сохранности народных традиций, историко-культурного наследия с другой - создание условий, позволяющих эффективно развиваться культуре 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0"/>
        <w:ind w:firstLine="0"/>
        <w:jc w:val="center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Цели, задачи и целевые показатели, сроки и этапы реализации муниципал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80"/>
        <w:ind w:firstLine="709"/>
        <w:jc w:val="center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программы: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–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не предусмотр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ны.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риложение</w:t>
      </w:r>
      <w:r>
        <w:rPr>
          <w:rFonts w:ascii="Times New Roman" w:hAnsi="Times New Roman" w:cs="Times New Roman"/>
          <w:sz w:val="28"/>
          <w:szCs w:val="28"/>
        </w:rPr>
        <w:t xml:space="preserve"> 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Отдельные целевые показатели программы могут не иметь полож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тельной динамики либо сохранять свои значения, так как рассчитываются с учетом планируемого объема финансирования.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подлежат ежегодному уточнению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 расширение доступа различных категорий н</w:t>
      </w:r>
      <w:r>
        <w:rPr>
          <w:rFonts w:ascii="Times New Roman" w:hAnsi="Times New Roman" w:cs="Times New Roman"/>
          <w:sz w:val="28"/>
          <w:szCs w:val="28"/>
        </w:rPr>
        <w:t xml:space="preserve">аселения </w:t>
      </w:r>
      <w:r>
        <w:rPr>
          <w:rFonts w:ascii="Times New Roman" w:hAnsi="Times New Roman" w:cs="Times New Roman"/>
          <w:sz w:val="28"/>
          <w:szCs w:val="28"/>
        </w:rPr>
        <w:t xml:space="preserve"> к достижениям культуры, и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кусства и кинематографии, повышен</w:t>
      </w:r>
      <w:r>
        <w:rPr>
          <w:rFonts w:ascii="Times New Roman" w:hAnsi="Times New Roman" w:cs="Times New Roman"/>
          <w:sz w:val="28"/>
          <w:szCs w:val="28"/>
        </w:rPr>
        <w:t xml:space="preserve">ие 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творческих</w:t>
      </w:r>
      <w:r>
        <w:rPr>
          <w:rFonts w:ascii="Times New Roman" w:hAnsi="Times New Roman" w:cs="Times New Roman"/>
          <w:sz w:val="28"/>
          <w:szCs w:val="28"/>
        </w:rPr>
        <w:t xml:space="preserve"> коллективов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достижения основных целей Программы предполагается: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создание условий для адаптации сферы культуры, к рыночным условиям существования;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компенсация отрицательных воздействий рыночных механизмов на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фессиональное искусство посредством его адресной поддержки;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историко-культурного наследия, развитие и взаимодействие национальных культур народов и этнических групп,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внедрение информационных технологий и формирование информацио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сетей в сфере культуры, искусства и кинематографии;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культурно-досуговых услуг;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 пополнение кадрового потенциала в сфере культуры и иску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улучшение технологической оснащенности организаций культуры и кин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матографии.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  <w:tab w:val="clear" w:pos="108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и краткое описание основных мероприятий муниципальной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left="1080" w:firstLine="709"/>
        <w:jc w:val="center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right="7" w:firstLine="709"/>
        <w:spacing w:before="14" w:line="324" w:lineRule="exact"/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Программы приведен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2</w:t>
      </w:r>
      <w:r>
        <w:rPr>
          <w:rFonts w:ascii="Times New Roman" w:hAnsi="Times New Roman" w:cs="Times New Roman"/>
          <w:spacing w:val="-1"/>
          <w:sz w:val="28"/>
          <w:szCs w:val="28"/>
        </w:rPr>
      </w:r>
      <w:r>
        <w:rPr>
          <w:rFonts w:ascii="Times New Roman" w:hAnsi="Times New Roman" w:cs="Times New Roman"/>
          <w:spacing w:val="-1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предусматривается за счет средств краевого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муниципального бюджето</w:t>
      </w:r>
      <w:r>
        <w:rPr>
          <w:rFonts w:ascii="Times New Roman" w:hAnsi="Times New Roman" w:cs="Times New Roman"/>
          <w:sz w:val="28"/>
          <w:szCs w:val="28"/>
        </w:rPr>
        <w:t xml:space="preserve">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Главным распорядителем бюджетных средств всех подведомственных учреждений является отдел культуры администрации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Объемы бюджетных ассигнований муниципальной программы пре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д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ставлены в таблице  1.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499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702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324361,3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Всего, 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387 219,7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326 633,1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332 032,5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</w:rPr>
        <w:t xml:space="preserve">Предполагается привлечение средств краевого бюджета в рамках </w:t>
      </w:r>
      <w:r>
        <w:rPr>
          <w:rFonts w:ascii="Times New Roman" w:hAnsi="Times New Roman" w:cs="Times New Roman"/>
          <w:spacing w:val="4"/>
          <w:sz w:val="28"/>
        </w:rPr>
        <w:t xml:space="preserve">г</w:t>
      </w:r>
      <w:r>
        <w:rPr>
          <w:rFonts w:ascii="Times New Roman" w:hAnsi="Times New Roman" w:cs="Times New Roman"/>
          <w:spacing w:val="4"/>
          <w:sz w:val="28"/>
        </w:rPr>
        <w:t xml:space="preserve">о</w:t>
      </w:r>
      <w:r>
        <w:rPr>
          <w:rFonts w:ascii="Times New Roman" w:hAnsi="Times New Roman" w:cs="Times New Roman"/>
          <w:spacing w:val="4"/>
          <w:sz w:val="28"/>
        </w:rPr>
        <w:t xml:space="preserve">сударственной программы Краснодарского края «</w:t>
      </w:r>
      <w:r>
        <w:rPr>
          <w:rFonts w:ascii="Times New Roman" w:hAnsi="Times New Roman" w:cs="Times New Roman"/>
          <w:spacing w:val="4"/>
          <w:sz w:val="28"/>
        </w:rPr>
        <w:t xml:space="preserve">Развитие культуры»</w:t>
      </w:r>
      <w:r>
        <w:rPr>
          <w:rFonts w:ascii="Times New Roman" w:hAnsi="Times New Roman" w:cs="Times New Roman"/>
          <w:spacing w:val="4"/>
          <w:sz w:val="28"/>
        </w:rPr>
        <w:t xml:space="preserve">, утвержденной постановлением главы администрации (губернатора) Краснодарского края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</w:rPr>
        <w:t xml:space="preserve">от </w:t>
      </w:r>
      <w:r>
        <w:rPr>
          <w:rFonts w:ascii="Times New Roman" w:hAnsi="Times New Roman" w:cs="Times New Roman"/>
          <w:spacing w:val="4"/>
          <w:sz w:val="28"/>
        </w:rPr>
        <w:t xml:space="preserve">22 октября</w:t>
      </w:r>
      <w:r>
        <w:rPr>
          <w:rFonts w:ascii="Times New Roman" w:hAnsi="Times New Roman" w:cs="Times New Roman"/>
          <w:spacing w:val="4"/>
          <w:sz w:val="28"/>
        </w:rPr>
        <w:t xml:space="preserve"> 20</w:t>
      </w:r>
      <w:r>
        <w:rPr>
          <w:rFonts w:ascii="Times New Roman" w:hAnsi="Times New Roman" w:cs="Times New Roman"/>
          <w:spacing w:val="4"/>
          <w:sz w:val="28"/>
        </w:rPr>
        <w:t xml:space="preserve">15</w:t>
      </w:r>
      <w:r>
        <w:rPr>
          <w:rFonts w:ascii="Times New Roman" w:hAnsi="Times New Roman" w:cs="Times New Roman"/>
          <w:spacing w:val="4"/>
          <w:sz w:val="28"/>
        </w:rPr>
        <w:t xml:space="preserve"> г. № </w:t>
      </w:r>
      <w:r>
        <w:rPr>
          <w:rFonts w:ascii="Times New Roman" w:hAnsi="Times New Roman" w:cs="Times New Roman"/>
          <w:spacing w:val="4"/>
          <w:sz w:val="28"/>
        </w:rPr>
        <w:t xml:space="preserve">986</w:t>
      </w:r>
      <w:r>
        <w:rPr>
          <w:rFonts w:ascii="Times New Roman" w:hAnsi="Times New Roman" w:cs="Times New Roman"/>
          <w:spacing w:val="4"/>
          <w:sz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Расчет финансового обеспечения реализации программных меропри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я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тий произведен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участниками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применением ка</w:t>
      </w:r>
      <w:r>
        <w:rPr>
          <w:rFonts w:ascii="Times New Roman" w:hAnsi="Times New Roman" w:cs="Times New Roman"/>
          <w:bCs/>
          <w:sz w:val="28"/>
          <w:szCs w:val="28"/>
        </w:rPr>
        <w:t xml:space="preserve">с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сового метода на основании расходов на аналогичные виды товаров, работ и услуг в период реализации предыдущей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Развитие культуры Ленинградского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Расчет произведен с учетом нео</w:t>
      </w:r>
      <w:r>
        <w:rPr>
          <w:rFonts w:ascii="Times New Roman" w:hAnsi="Times New Roman" w:cs="Times New Roman"/>
          <w:bCs/>
          <w:sz w:val="28"/>
          <w:szCs w:val="28"/>
        </w:rPr>
        <w:t xml:space="preserve">б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ходимости решения поставленных задач в части </w:t>
      </w:r>
      <w:r>
        <w:rPr>
          <w:rFonts w:ascii="Times New Roman" w:hAnsi="Times New Roman" w:cs="Times New Roman"/>
          <w:sz w:val="28"/>
          <w:szCs w:val="28"/>
        </w:rPr>
        <w:t xml:space="preserve">сохранения достигнутого уровня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прошлых лет в отрасли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представлено в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tabs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Общий планируемый объем финансирования программы будет уточняться в зависимости от принятых на региональном и местном уровне реш</w:t>
      </w:r>
      <w:r>
        <w:rPr>
          <w:rFonts w:ascii="Times New Roman" w:hAnsi="Times New Roman" w:cs="Times New Roman"/>
          <w:bCs/>
          <w:sz w:val="28"/>
          <w:szCs w:val="28"/>
        </w:rPr>
        <w:t xml:space="preserve"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ний об объемах выделяемых средств.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Методика оценки эффективности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jc w:val="center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расчета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осуществляется в соответствии с типовой методикой оценки эффективности реализации программы,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Ленинградский район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Механизм реализации муниципальной Программы и контроль за её выполн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нием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программой осуществляет 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– 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в процессе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предоставляет отчет о выполнении муниципальной программы в отдел экономики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округа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и оценке эффективности ее реализации;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программой;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осуществляет ведомственный контроль за соблюдением законодательства Российской Федерации о контрактной системе в сфере закупок учреждений культуры, подведомственных отделу культуры;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учреждения, находящиеся в ведении отдела культуры ежеквартально до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предоставляют отчет о выполнении муниципального задания;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(главный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бюджетных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средств)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обязательном порядке согласовывает муниципальные контракты, заключаемые подведомственными учреждениями.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предоставления компенсационных выплат работникам муниципальных учреждений культуры, искусства и кинематографии Краснодарского края, связанных с возмещением расходов по оплате жилых помещений по договорам найма, 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танавливается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муниципального образования Ленинградский район от 17 февраля 2005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предоставлении мер социальной поддержки по оплате труда, отопления, освещения отдельным категориям граждан работающим и проживающим в сельской местности».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Закупку товаров, работ, услуг для муниципальных нужд за счёт средств местного бюджета в соответствии с Федеральным законом от 5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реля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2013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представление субсидий муниципальным казенным, бюджетным и автоно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ным учреждениям 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2.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Предоставление в установленном законодательством порядке субсидий из местного бюджета муниципальным бюджетным и автономным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на иные цели в соответствии с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правовыми актами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Предоставление субсидий  муниципальным  бюджетным и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 целях финансового обеспечения выполнения 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у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ниципального задания осуществляется  в соответствии  с  постановлением администрации муниципального образования Ленинградский район от 21 октября 2015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816 «О порядке формирования муниципального задания на оказание муниципальных услуг (выполнения работ) в отношении муниципальных учреждений муниципального образования Ленинградский район и финансового обеспечения выполнения муниципального задания»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</w:t>
      </w:r>
      <w:r>
        <w:rPr>
          <w:rFonts w:ascii="Times New Roman" w:hAnsi="Times New Roman" w:cs="Times New Roman"/>
          <w:sz w:val="28"/>
          <w:szCs w:val="28"/>
        </w:rPr>
        <w:t xml:space="preserve">нинградский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чальник отдела культуры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Подкидышева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  <w:rFonts w:ascii="Times New Roman" w:hAnsi="Times New Roman"/>
      </w:rPr>
      <w:framePr w:wrap="around" w:vAnchor="text" w:hAnchor="page" w:x="6022" w:y="61"/>
    </w:pPr>
    <w:r>
      <w:rPr>
        <w:rStyle w:val="678"/>
        <w:rFonts w:ascii="Times New Roman" w:hAnsi="Times New Roman"/>
      </w:rPr>
      <w:fldChar w:fldCharType="begin"/>
    </w:r>
    <w:r>
      <w:rPr>
        <w:rStyle w:val="678"/>
        <w:rFonts w:ascii="Times New Roman" w:hAnsi="Times New Roman"/>
      </w:rPr>
      <w:instrText xml:space="preserve">PAGE  </w:instrText>
    </w:r>
    <w:r>
      <w:rPr>
        <w:rStyle w:val="678"/>
        <w:rFonts w:ascii="Times New Roman" w:hAnsi="Times New Roman"/>
      </w:rPr>
      <w:fldChar w:fldCharType="separate"/>
    </w:r>
    <w:r>
      <w:rPr>
        <w:rStyle w:val="678"/>
        <w:rFonts w:ascii="Times New Roman" w:hAnsi="Times New Roman"/>
      </w:rPr>
      <w:t xml:space="preserve">10</w:t>
    </w:r>
    <w:r>
      <w:rPr>
        <w:rStyle w:val="678"/>
        <w:rFonts w:ascii="Times New Roman" w:hAnsi="Times New Roman"/>
      </w:rPr>
      <w:fldChar w:fldCharType="end"/>
    </w:r>
    <w:r>
      <w:rPr>
        <w:rStyle w:val="678"/>
        <w:rFonts w:ascii="Times New Roman" w:hAnsi="Times New Roman"/>
      </w:rPr>
    </w:r>
    <w:r>
      <w:rPr>
        <w:rStyle w:val="678"/>
        <w:rFonts w:ascii="Times New Roman" w:hAnsi="Times New Roman"/>
      </w:rPr>
    </w:r>
  </w:p>
  <w:p>
    <w:pPr>
      <w:pStyle w:val="668"/>
      <w:jc w:val="center"/>
    </w:pPr>
    <w:r/>
    <w:r/>
  </w:p>
  <w:p>
    <w:pPr>
      <w:pStyle w:val="6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</w:rPr>
      <w:framePr w:wrap="around" w:vAnchor="text" w:hAnchor="margin" w:xAlign="center" w:y="1"/>
    </w:pPr>
    <w:r>
      <w:rPr>
        <w:rStyle w:val="678"/>
      </w:rPr>
      <w:fldChar w:fldCharType="begin"/>
    </w:r>
    <w:r>
      <w:rPr>
        <w:rStyle w:val="678"/>
      </w:rPr>
      <w:instrText xml:space="preserve">PAGE  </w:instrText>
    </w:r>
    <w:r>
      <w:rPr>
        <w:rStyle w:val="678"/>
      </w:rPr>
      <w:fldChar w:fldCharType="end"/>
    </w:r>
    <w:r>
      <w:rPr>
        <w:rStyle w:val="678"/>
      </w:rPr>
    </w:r>
    <w:r>
      <w:rPr>
        <w:rStyle w:val="678"/>
      </w:rPr>
    </w:r>
  </w:p>
  <w:p>
    <w:pPr>
      <w:pStyle w:val="6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0"/>
    <w:next w:val="66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0"/>
    <w:next w:val="66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0"/>
    <w:next w:val="66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0"/>
    <w:next w:val="66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0"/>
    <w:next w:val="66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0"/>
    <w:next w:val="66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0"/>
    <w:next w:val="66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0"/>
    <w:next w:val="66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0"/>
    <w:next w:val="66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0"/>
    <w:next w:val="66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0"/>
    <w:next w:val="66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0"/>
    <w:next w:val="66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0"/>
    <w:next w:val="66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0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66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0"/>
    <w:next w:val="6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next w:val="660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61">
    <w:name w:val="Заголовок 1"/>
    <w:basedOn w:val="660"/>
    <w:next w:val="660"/>
    <w:link w:val="665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62">
    <w:name w:val="Основной шрифт абзаца"/>
    <w:next w:val="662"/>
    <w:link w:val="660"/>
    <w:semiHidden/>
  </w:style>
  <w:style w:type="table" w:styleId="663">
    <w:name w:val="Обычная таблица"/>
    <w:next w:val="663"/>
    <w:link w:val="660"/>
    <w:semiHidden/>
    <w:tblPr/>
  </w:style>
  <w:style w:type="numbering" w:styleId="664">
    <w:name w:val="Нет списка"/>
    <w:next w:val="664"/>
    <w:link w:val="660"/>
    <w:semiHidden/>
  </w:style>
  <w:style w:type="character" w:styleId="665">
    <w:name w:val="Заголовок 1 Знак"/>
    <w:next w:val="665"/>
    <w:link w:val="661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666">
    <w:name w:val="Нормальный (таблица)"/>
    <w:basedOn w:val="660"/>
    <w:next w:val="660"/>
    <w:link w:val="660"/>
    <w:pPr>
      <w:ind w:firstLine="0"/>
    </w:pPr>
  </w:style>
  <w:style w:type="paragraph" w:styleId="667">
    <w:name w:val="Прижатый влево"/>
    <w:basedOn w:val="660"/>
    <w:next w:val="660"/>
    <w:link w:val="660"/>
    <w:pPr>
      <w:ind w:firstLine="0"/>
      <w:jc w:val="left"/>
    </w:pPr>
  </w:style>
  <w:style w:type="paragraph" w:styleId="668">
    <w:name w:val="Верхний колонтитул"/>
    <w:basedOn w:val="660"/>
    <w:next w:val="668"/>
    <w:link w:val="669"/>
    <w:unhideWhenUsed/>
    <w:pPr>
      <w:tabs>
        <w:tab w:val="center" w:pos="4677" w:leader="none"/>
        <w:tab w:val="right" w:pos="9355" w:leader="none"/>
      </w:tabs>
    </w:pPr>
  </w:style>
  <w:style w:type="character" w:styleId="669">
    <w:name w:val="Верхний колонтитул Знак"/>
    <w:next w:val="669"/>
    <w:link w:val="668"/>
    <w:rPr>
      <w:rFonts w:ascii="Arial" w:hAnsi="Arial" w:cs="Arial"/>
      <w:sz w:val="24"/>
      <w:szCs w:val="24"/>
      <w:lang w:val="ru-RU" w:eastAsia="ru-RU" w:bidi="ar-SA"/>
    </w:rPr>
  </w:style>
  <w:style w:type="paragraph" w:styleId="670">
    <w:name w:val="ConsPlusCell"/>
    <w:next w:val="670"/>
    <w:link w:val="660"/>
    <w:rPr>
      <w:rFonts w:eastAsia="Calibri"/>
      <w:sz w:val="28"/>
      <w:szCs w:val="28"/>
      <w:lang w:val="ru-RU" w:eastAsia="ru-RU" w:bidi="ar-SA"/>
    </w:rPr>
  </w:style>
  <w:style w:type="paragraph" w:styleId="671">
    <w:name w:val="Основной текст с отступом 2"/>
    <w:basedOn w:val="660"/>
    <w:next w:val="671"/>
    <w:link w:val="672"/>
    <w:semiHidden/>
    <w:unhideWhenUsed/>
    <w:pPr>
      <w:ind w:left="283"/>
      <w:spacing w:after="120" w:line="480" w:lineRule="auto"/>
    </w:pPr>
  </w:style>
  <w:style w:type="character" w:styleId="672">
    <w:name w:val="Основной текст с отступом 2 Знак"/>
    <w:next w:val="672"/>
    <w:link w:val="671"/>
    <w:semiHidden/>
    <w:rPr>
      <w:rFonts w:ascii="Arial" w:hAnsi="Arial" w:cs="Arial"/>
      <w:sz w:val="24"/>
      <w:szCs w:val="24"/>
      <w:lang w:val="ru-RU" w:eastAsia="ru-RU" w:bidi="ar-SA"/>
    </w:rPr>
  </w:style>
  <w:style w:type="paragraph" w:styleId="673">
    <w:name w:val="Без интервала"/>
    <w:next w:val="673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74">
    <w:name w:val="Основной текст"/>
    <w:basedOn w:val="660"/>
    <w:next w:val="674"/>
    <w:link w:val="660"/>
    <w:pPr>
      <w:spacing w:after="120"/>
    </w:pPr>
  </w:style>
  <w:style w:type="character" w:styleId="675">
    <w:name w:val="Подпись к картинке_"/>
    <w:next w:val="675"/>
    <w:link w:val="676"/>
    <w:rPr>
      <w:sz w:val="27"/>
      <w:szCs w:val="27"/>
      <w:lang w:bidi="ar-SA"/>
    </w:rPr>
  </w:style>
  <w:style w:type="paragraph" w:styleId="676">
    <w:name w:val="Подпись к картинке1"/>
    <w:basedOn w:val="660"/>
    <w:next w:val="676"/>
    <w:link w:val="675"/>
    <w:pPr>
      <w:ind w:firstLine="0"/>
      <w:jc w:val="left"/>
      <w:spacing w:line="240" w:lineRule="atLeast"/>
      <w:shd w:val="clear" w:color="auto" w:fill="ffffff"/>
      <w:widowControl/>
    </w:pPr>
    <w:rPr>
      <w:rFonts w:ascii="Times New Roman" w:hAnsi="Times New Roman" w:cs="Times New Roman"/>
      <w:sz w:val="27"/>
      <w:szCs w:val="27"/>
    </w:rPr>
  </w:style>
  <w:style w:type="character" w:styleId="677">
    <w:name w:val="Header Char"/>
    <w:next w:val="677"/>
    <w:link w:val="660"/>
    <w:semiHidden/>
    <w:rPr>
      <w:rFonts w:cs="Times New Roman"/>
      <w:sz w:val="20"/>
    </w:rPr>
  </w:style>
  <w:style w:type="character" w:styleId="678">
    <w:name w:val="Номер страницы"/>
    <w:next w:val="678"/>
    <w:link w:val="660"/>
    <w:rPr>
      <w:rFonts w:cs="Times New Roman"/>
    </w:rPr>
  </w:style>
  <w:style w:type="paragraph" w:styleId="679">
    <w:name w:val="List Paragraph1"/>
    <w:basedOn w:val="660"/>
    <w:next w:val="679"/>
    <w:link w:val="660"/>
    <w:pPr>
      <w:ind w:left="720" w:firstLine="0"/>
      <w:jc w:val="center"/>
      <w:widowControl/>
    </w:pPr>
    <w:rPr>
      <w:rFonts w:ascii="Calibri" w:hAnsi="Calibri" w:cs="Times New Roman"/>
      <w:sz w:val="22"/>
      <w:szCs w:val="22"/>
      <w:lang w:eastAsia="en-US"/>
    </w:rPr>
  </w:style>
  <w:style w:type="paragraph" w:styleId="680">
    <w:name w:val="ConsPlusNormal"/>
    <w:next w:val="680"/>
    <w:link w:val="66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681">
    <w:name w:val="Body Text Indent 2 Char"/>
    <w:next w:val="681"/>
    <w:link w:val="660"/>
    <w:semiHidden/>
    <w:rPr>
      <w:lang w:val="ru-RU" w:eastAsia="ru-RU" w:bidi="ar-SA"/>
    </w:rPr>
  </w:style>
  <w:style w:type="paragraph" w:styleId="682">
    <w:name w:val="Основной текст с отступом"/>
    <w:basedOn w:val="660"/>
    <w:next w:val="682"/>
    <w:link w:val="660"/>
    <w:pPr>
      <w:ind w:left="283"/>
      <w:spacing w:after="120"/>
    </w:pPr>
  </w:style>
  <w:style w:type="paragraph" w:styleId="683">
    <w:name w:val="Нижний колонтитул"/>
    <w:basedOn w:val="660"/>
    <w:next w:val="683"/>
    <w:link w:val="660"/>
    <w:pPr>
      <w:tabs>
        <w:tab w:val="center" w:pos="4677" w:leader="none"/>
        <w:tab w:val="right" w:pos="9355" w:leader="none"/>
      </w:tabs>
    </w:pPr>
  </w:style>
  <w:style w:type="paragraph" w:styleId="684">
    <w:name w:val="Текст выноски"/>
    <w:basedOn w:val="660"/>
    <w:next w:val="684"/>
    <w:link w:val="685"/>
    <w:rPr>
      <w:rFonts w:ascii="Segoe UI" w:hAnsi="Segoe UI" w:cs="Segoe UI"/>
      <w:sz w:val="18"/>
      <w:szCs w:val="18"/>
    </w:rPr>
  </w:style>
  <w:style w:type="character" w:styleId="685">
    <w:name w:val="Текст выноски Знак"/>
    <w:next w:val="685"/>
    <w:link w:val="684"/>
    <w:rPr>
      <w:rFonts w:ascii="Segoe UI" w:hAnsi="Segoe UI" w:cs="Segoe UI"/>
      <w:sz w:val="18"/>
      <w:szCs w:val="18"/>
    </w:rPr>
  </w:style>
  <w:style w:type="paragraph" w:styleId="686">
    <w:name w:val="Обычный (веб)"/>
    <w:basedOn w:val="660"/>
    <w:next w:val="686"/>
    <w:link w:val="660"/>
    <w:uiPriority w:val="99"/>
    <w:unhideWhenUsed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</w:rPr>
  </w:style>
  <w:style w:type="table" w:styleId="687">
    <w:name w:val="Сетка таблицы"/>
    <w:basedOn w:val="663"/>
    <w:next w:val="687"/>
    <w:link w:val="660"/>
    <w:tblPr/>
  </w:style>
  <w:style w:type="character" w:styleId="2633" w:default="1">
    <w:name w:val="Default Paragraph Font"/>
    <w:uiPriority w:val="1"/>
    <w:semiHidden/>
    <w:unhideWhenUsed/>
  </w:style>
  <w:style w:type="numbering" w:styleId="2634" w:default="1">
    <w:name w:val="No List"/>
    <w:uiPriority w:val="99"/>
    <w:semiHidden/>
    <w:unhideWhenUsed/>
  </w:style>
  <w:style w:type="table" w:styleId="263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Организация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Customer</dc:creator>
  <cp:revision>313</cp:revision>
  <dcterms:created xsi:type="dcterms:W3CDTF">2017-01-31T05:05:00Z</dcterms:created>
  <dcterms:modified xsi:type="dcterms:W3CDTF">2026-05-18T07:56:58Z</dcterms:modified>
  <cp:version>917504</cp:version>
</cp:coreProperties>
</file>